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6"/>
        <w:ind w:left="4111"/>
        <w:jc w:val="left"/>
        <w:rPr>
          <w:b w:val="0"/>
          <w:bCs w:val="0"/>
          <w:sz w:val="20"/>
          <w:u w:val="none"/>
          <w:lang w:eastAsia="en-US"/>
        </w:rPr>
      </w:pPr>
      <w:r>
        <w:rPr>
          <w:b w:val="0"/>
          <w:bCs w:val="0"/>
          <w:sz w:val="20"/>
          <w:u w:val="none"/>
          <w:lang w:eastAsia="en-US"/>
        </w:rPr>
        <w:t xml:space="preserve">Приложение 1</w:t>
      </w:r>
      <w:r>
        <w:rPr>
          <w:b w:val="0"/>
          <w:bCs w:val="0"/>
          <w:sz w:val="20"/>
          <w:u w:val="none"/>
          <w:lang w:eastAsia="en-US"/>
        </w:rPr>
        <w:t xml:space="preserve">5</w:t>
      </w:r>
      <w:r>
        <w:rPr>
          <w:b w:val="0"/>
          <w:bCs w:val="0"/>
          <w:sz w:val="20"/>
          <w:u w:val="none"/>
          <w:lang w:eastAsia="en-US"/>
        </w:rPr>
      </w:r>
      <w:r>
        <w:rPr>
          <w:b w:val="0"/>
          <w:bCs w:val="0"/>
          <w:sz w:val="20"/>
          <w:u w:val="none"/>
          <w:lang w:eastAsia="en-US"/>
        </w:rPr>
      </w:r>
    </w:p>
    <w:p>
      <w:pPr>
        <w:pStyle w:val="680"/>
        <w:contextualSpacing/>
        <w:ind w:left="4111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686"/>
        <w:ind w:left="4111"/>
        <w:jc w:val="left"/>
        <w:rPr>
          <w:b w:val="0"/>
          <w:bCs w:val="0"/>
          <w:sz w:val="20"/>
          <w:u w:val="none"/>
          <w:lang w:eastAsia="en-US"/>
        </w:rPr>
      </w:pPr>
      <w:r>
        <w:rPr>
          <w:b w:val="0"/>
          <w:bCs w:val="0"/>
          <w:sz w:val="20"/>
          <w:u w:val="none"/>
        </w:rPr>
        <w:t xml:space="preserve">в АО «Россельхозбанк» с использованием </w:t>
      </w:r>
      <w:r>
        <w:rPr>
          <w:b w:val="0"/>
          <w:bCs w:val="0"/>
          <w:iCs/>
          <w:sz w:val="20"/>
          <w:u w:val="none"/>
        </w:rPr>
        <w:t xml:space="preserve">информационной системы «Цифровой канал обслуживания юридических лиц «Свой бизнес» </w:t>
      </w:r>
      <w:r>
        <w:rPr>
          <w:b w:val="0"/>
          <w:bCs w:val="0"/>
          <w:sz w:val="20"/>
          <w:u w:val="none"/>
        </w:rPr>
        <w:t xml:space="preserve">в рамках Единого сервисного договора</w:t>
      </w:r>
      <w:r>
        <w:rPr>
          <w:b w:val="0"/>
          <w:bCs w:val="0"/>
          <w:sz w:val="20"/>
          <w:u w:val="none"/>
          <w:lang w:eastAsia="en-US"/>
        </w:rPr>
      </w:r>
      <w:r>
        <w:rPr>
          <w:b w:val="0"/>
          <w:bCs w:val="0"/>
          <w:sz w:val="20"/>
          <w:u w:val="none"/>
          <w:lang w:eastAsia="en-US"/>
        </w:rPr>
      </w:r>
    </w:p>
    <w:p>
      <w:pPr>
        <w:pStyle w:val="686"/>
        <w:ind w:left="4536"/>
        <w:jc w:val="left"/>
        <w:rPr>
          <w:b w:val="0"/>
          <w:bCs w:val="0"/>
          <w:sz w:val="20"/>
          <w:u w:val="none"/>
          <w:lang w:eastAsia="en-US"/>
        </w:rPr>
      </w:pPr>
      <w:r>
        <w:rPr>
          <w:b w:val="0"/>
          <w:bCs w:val="0"/>
          <w:sz w:val="20"/>
          <w:u w:val="none"/>
          <w:lang w:eastAsia="en-US"/>
        </w:rPr>
      </w:r>
      <w:r>
        <w:rPr>
          <w:b w:val="0"/>
          <w:bCs w:val="0"/>
          <w:sz w:val="20"/>
          <w:u w:val="none"/>
          <w:lang w:eastAsia="en-US"/>
        </w:rPr>
      </w:r>
    </w:p>
    <w:p>
      <w:pPr>
        <w:pStyle w:val="68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80"/>
        <w:jc w:val="center"/>
        <w:rPr>
          <w:b/>
        </w:rPr>
      </w:pPr>
      <w:r>
        <w:rPr>
          <w:b/>
        </w:rPr>
        <w:t xml:space="preserve">Памятка</w:t>
      </w:r>
      <w:r>
        <w:rPr>
          <w:b/>
        </w:rPr>
      </w:r>
      <w:r>
        <w:rPr>
          <w:b/>
        </w:rPr>
      </w:r>
    </w:p>
    <w:p>
      <w:pPr>
        <w:pStyle w:val="680"/>
        <w:jc w:val="center"/>
        <w:rPr>
          <w:b/>
        </w:rPr>
      </w:pPr>
      <w:r>
        <w:rPr>
          <w:b/>
        </w:rPr>
        <w:t xml:space="preserve">для </w:t>
      </w:r>
      <w:r>
        <w:rPr>
          <w:b/>
        </w:rPr>
        <w:t xml:space="preserve">к</w:t>
      </w:r>
      <w:r>
        <w:rPr>
          <w:b/>
        </w:rPr>
        <w:t xml:space="preserve">лиентов </w:t>
      </w:r>
      <w:r>
        <w:rPr>
          <w:b/>
        </w:rPr>
        <w:t xml:space="preserve">АО</w:t>
      </w:r>
      <w:r>
        <w:rPr>
          <w:b/>
        </w:rPr>
        <w:t xml:space="preserve"> </w:t>
      </w:r>
      <w:r>
        <w:rPr>
          <w:b/>
        </w:rPr>
        <w:t xml:space="preserve">«</w:t>
      </w:r>
      <w:r>
        <w:rPr>
          <w:b/>
        </w:rPr>
        <w:t xml:space="preserve">Россельхозбанк</w:t>
      </w:r>
      <w:r>
        <w:rPr>
          <w:b/>
        </w:rPr>
        <w:t xml:space="preserve">»</w:t>
      </w:r>
      <w:r>
        <w:rPr>
          <w:b/>
        </w:rPr>
        <w:t xml:space="preserve"> </w:t>
      </w:r>
      <w:r>
        <w:rPr>
          <w:b/>
        </w:rPr>
        <w:t xml:space="preserve">при использовании </w:t>
      </w:r>
      <w:r>
        <w:rPr>
          <w:b/>
        </w:rPr>
        <w:t xml:space="preserve">сист</w:t>
      </w:r>
      <w:r>
        <w:rPr>
          <w:b/>
        </w:rPr>
        <w:t xml:space="preserve">емы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680"/>
        <w:jc w:val="center"/>
        <w:rPr>
          <w:b/>
        </w:rPr>
      </w:pPr>
      <w:r>
        <w:rPr>
          <w:b/>
        </w:rPr>
        <w:t xml:space="preserve">дистанционного </w:t>
      </w:r>
      <w:r>
        <w:rPr>
          <w:b/>
        </w:rPr>
        <w:t xml:space="preserve">банковского обслуживания</w:t>
      </w:r>
      <w:r>
        <w:rPr>
          <w:b/>
        </w:rPr>
        <w:t xml:space="preserve"> </w:t>
      </w:r>
      <w:r>
        <w:rPr>
          <w:b/>
        </w:rPr>
        <w:t xml:space="preserve">ИС Свой Бизнес</w:t>
      </w:r>
      <w:r>
        <w:rPr>
          <w:b/>
        </w:rPr>
        <w:t xml:space="preserve"> </w:t>
      </w:r>
      <w:r>
        <w:rPr>
          <w:b/>
        </w:rPr>
      </w:r>
    </w:p>
    <w:p>
      <w:pPr>
        <w:pStyle w:val="680"/>
        <w:jc w:val="center"/>
      </w:pPr>
      <w:r>
        <w:rPr>
          <w:b/>
        </w:rPr>
        <w:t xml:space="preserve">в рамках Единого сервисного договора</w:t>
      </w:r>
      <w:r/>
    </w:p>
    <w:p>
      <w:pPr>
        <w:pStyle w:val="680"/>
        <w:jc w:val="both"/>
      </w:pPr>
      <w:r/>
      <w:r/>
    </w:p>
    <w:p>
      <w:pPr>
        <w:pStyle w:val="680"/>
        <w:ind w:firstLine="708"/>
        <w:jc w:val="both"/>
      </w:pPr>
      <w:r>
        <w:t xml:space="preserve">В последнее время в ряде российских банков участились случаи (попытки) </w:t>
      </w:r>
      <w:r>
        <w:t xml:space="preserve">хищения денежных средств </w:t>
      </w:r>
      <w:r>
        <w:t xml:space="preserve">К</w:t>
      </w:r>
      <w:r>
        <w:t xml:space="preserve">лиентов</w:t>
      </w:r>
      <w:r>
        <w:t xml:space="preserve"> при использовании</w:t>
      </w:r>
      <w:r>
        <w:t xml:space="preserve"> </w:t>
      </w:r>
      <w:r>
        <w:t xml:space="preserve">ИС Свой Бизнес</w:t>
      </w:r>
      <w:r>
        <w:t xml:space="preserve">.</w:t>
      </w:r>
      <w:r>
        <w:t xml:space="preserve"> </w:t>
      </w:r>
      <w:r/>
    </w:p>
    <w:p>
      <w:pPr>
        <w:pStyle w:val="680"/>
        <w:ind w:firstLine="708"/>
        <w:jc w:val="both"/>
      </w:pPr>
      <w:r>
        <w:t xml:space="preserve">Цели злоумышленников: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получение персональных данных </w:t>
      </w:r>
      <w:r>
        <w:t xml:space="preserve">К</w:t>
      </w:r>
      <w:r>
        <w:t xml:space="preserve">лиента;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возможность доступа к </w:t>
      </w:r>
      <w:r>
        <w:t xml:space="preserve">ИС Свой Бизнес </w:t>
      </w:r>
      <w:r>
        <w:t xml:space="preserve">от имени </w:t>
      </w:r>
      <w:r>
        <w:t xml:space="preserve">К</w:t>
      </w:r>
      <w:r>
        <w:t xml:space="preserve">лиента</w:t>
      </w:r>
      <w:r>
        <w:t xml:space="preserve">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отслеживание состояния счетов </w:t>
      </w:r>
      <w:r>
        <w:t xml:space="preserve">К</w:t>
      </w:r>
      <w:r>
        <w:t xml:space="preserve">лиента;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хищение денежных средств (несанкционированный перевод денежных средств </w:t>
      </w:r>
      <w:r>
        <w:br w:type="textWrapping" w:clear="all"/>
      </w:r>
      <w:r>
        <w:t xml:space="preserve">со счетов </w:t>
      </w:r>
      <w:r>
        <w:t xml:space="preserve">К</w:t>
      </w:r>
      <w:r>
        <w:t xml:space="preserve">лиентов</w:t>
      </w:r>
      <w:r>
        <w:t xml:space="preserve"> </w:t>
      </w:r>
      <w:r>
        <w:t xml:space="preserve">на счета физических и юридических лиц</w:t>
      </w:r>
      <w:r>
        <w:t xml:space="preserve">).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Как правило, х</w:t>
      </w:r>
      <w:r>
        <w:t xml:space="preserve">ищения (попытки хищения) осуществляются: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работающими (или уволенными) ответственными работниками </w:t>
      </w:r>
      <w:r>
        <w:t xml:space="preserve">К</w:t>
      </w:r>
      <w:r>
        <w:t xml:space="preserve">лиента, имеющими (имевшими) доступ к ключам Э</w:t>
      </w:r>
      <w:r>
        <w:t xml:space="preserve">П, носителям ключей Э</w:t>
      </w:r>
      <w:r>
        <w:t xml:space="preserve">П или компьютерам</w:t>
      </w:r>
      <w:r>
        <w:t xml:space="preserve">/</w:t>
      </w:r>
      <w:r>
        <w:t xml:space="preserve">мобильным устройствам</w:t>
      </w:r>
      <w:r>
        <w:t xml:space="preserve">, </w:t>
      </w:r>
      <w:r>
        <w:t xml:space="preserve">на</w:t>
      </w:r>
      <w:r>
        <w:t xml:space="preserve"> которых </w:t>
      </w:r>
      <w:r>
        <w:t xml:space="preserve">реализована</w:t>
      </w:r>
      <w:r>
        <w:t xml:space="preserve"> работа </w:t>
      </w:r>
      <w:r>
        <w:t xml:space="preserve">в</w:t>
      </w:r>
      <w:r>
        <w:t xml:space="preserve">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штатными </w:t>
      </w:r>
      <w:r>
        <w:rPr>
          <w:lang w:val="en-US"/>
        </w:rPr>
        <w:t xml:space="preserve">IT</w:t>
      </w:r>
      <w:r>
        <w:t xml:space="preserve">-специалистами</w:t>
      </w:r>
      <w:r>
        <w:t xml:space="preserve"> </w:t>
      </w:r>
      <w:r>
        <w:t xml:space="preserve">К</w:t>
      </w:r>
      <w:r>
        <w:t xml:space="preserve">лиента, имеющими </w:t>
      </w:r>
      <w:r>
        <w:t xml:space="preserve">(имевшими) </w:t>
      </w:r>
      <w:r>
        <w:t xml:space="preserve">доступ к </w:t>
      </w:r>
      <w:r>
        <w:t xml:space="preserve">КН</w:t>
      </w:r>
      <w:r>
        <w:t xml:space="preserve"> </w:t>
      </w:r>
      <w:r>
        <w:t xml:space="preserve">или компьютерам</w:t>
      </w:r>
      <w:r>
        <w:t xml:space="preserve">/</w:t>
      </w:r>
      <w:r>
        <w:t xml:space="preserve">мобильным устройствам</w:t>
      </w:r>
      <w:r>
        <w:t xml:space="preserve">, </w:t>
      </w:r>
      <w:r>
        <w:t xml:space="preserve">на</w:t>
      </w:r>
      <w:r>
        <w:t xml:space="preserve"> которых </w:t>
      </w:r>
      <w:r>
        <w:t xml:space="preserve">реализована </w:t>
      </w:r>
      <w:r>
        <w:t xml:space="preserve">работа в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нештатными </w:t>
      </w:r>
      <w:r>
        <w:rPr>
          <w:lang w:val="en-US"/>
        </w:rPr>
        <w:t xml:space="preserve">IT</w:t>
      </w:r>
      <w:r>
        <w:t xml:space="preserve">-специалистами</w:t>
      </w:r>
      <w:r>
        <w:t xml:space="preserve">, </w:t>
      </w:r>
      <w:r>
        <w:t xml:space="preserve">вызываемыми для </w:t>
      </w:r>
      <w:r>
        <w:t xml:space="preserve">выполн</w:t>
      </w:r>
      <w:r>
        <w:t xml:space="preserve">ения</w:t>
      </w:r>
      <w:r>
        <w:t xml:space="preserve"> </w:t>
      </w:r>
      <w:r>
        <w:t xml:space="preserve">профилактически</w:t>
      </w:r>
      <w:r>
        <w:t xml:space="preserve">х</w:t>
      </w:r>
      <w:r>
        <w:t xml:space="preserve"> работ и подключени</w:t>
      </w:r>
      <w:r>
        <w:t xml:space="preserve">я</w:t>
      </w:r>
      <w:r>
        <w:t xml:space="preserve"> компьютеров</w:t>
      </w:r>
      <w:r>
        <w:t xml:space="preserve">/</w:t>
      </w:r>
      <w:r>
        <w:t xml:space="preserve">мобильных устройств</w:t>
      </w:r>
      <w:r>
        <w:t xml:space="preserve"> </w:t>
      </w:r>
      <w:r>
        <w:t xml:space="preserve">К</w:t>
      </w:r>
      <w:r>
        <w:t xml:space="preserve">лиента к сети Интернет, </w:t>
      </w:r>
      <w:r>
        <w:t xml:space="preserve">для </w:t>
      </w:r>
      <w:r>
        <w:t xml:space="preserve">установк</w:t>
      </w:r>
      <w:r>
        <w:t xml:space="preserve">и</w:t>
      </w:r>
      <w:r>
        <w:t xml:space="preserve">, настройк</w:t>
      </w:r>
      <w:r>
        <w:t xml:space="preserve">и</w:t>
      </w:r>
      <w:r>
        <w:t xml:space="preserve"> и обновлени</w:t>
      </w:r>
      <w:r>
        <w:t xml:space="preserve">я</w:t>
      </w:r>
      <w:r>
        <w:t xml:space="preserve"> бухгалтерских и информационно-справочных программ или другого программного обеспечения</w:t>
      </w:r>
      <w:r>
        <w:t xml:space="preserve"> </w:t>
      </w:r>
      <w:r>
        <w:t xml:space="preserve">на компьютерах</w:t>
      </w:r>
      <w:r>
        <w:t xml:space="preserve">/</w:t>
      </w:r>
      <w:r>
        <w:t xml:space="preserve">мобильных устройствах</w:t>
      </w:r>
      <w:r>
        <w:t xml:space="preserve"> </w:t>
      </w:r>
      <w:r>
        <w:t xml:space="preserve">К</w:t>
      </w:r>
      <w:r>
        <w:t xml:space="preserve">лиента, </w:t>
      </w:r>
      <w:r>
        <w:br w:type="textWrapping" w:clear="all"/>
      </w:r>
      <w:r>
        <w:t xml:space="preserve">на</w:t>
      </w:r>
      <w:r>
        <w:t xml:space="preserve"> которых </w:t>
      </w:r>
      <w:r>
        <w:t xml:space="preserve">реализована </w:t>
      </w:r>
      <w:r>
        <w:t xml:space="preserve">работа в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злоумышленниками</w:t>
      </w:r>
      <w:r>
        <w:t xml:space="preserve">, </w:t>
      </w:r>
      <w:r>
        <w:t xml:space="preserve">использующими уязвимости системного и прикладного программного обеспечения </w:t>
      </w:r>
      <w:r>
        <w:t xml:space="preserve">К</w:t>
      </w:r>
      <w:r>
        <w:t xml:space="preserve">лиента, отсутствие действенной актуальной антивирусной защиты, фильтрации сетевого трафика и </w:t>
      </w:r>
      <w:r>
        <w:t xml:space="preserve">воздействующими </w:t>
      </w:r>
      <w:r>
        <w:t xml:space="preserve">вредоносными программами </w:t>
      </w:r>
      <w:r>
        <w:br w:type="textWrapping" w:clear="all"/>
      </w:r>
      <w:r>
        <w:t xml:space="preserve">на компьютеры</w:t>
      </w:r>
      <w:r>
        <w:t xml:space="preserve">/</w:t>
      </w:r>
      <w:r>
        <w:t xml:space="preserve">мобильные устройства</w:t>
      </w:r>
      <w:r>
        <w:t xml:space="preserve"> </w:t>
      </w:r>
      <w:r>
        <w:t xml:space="preserve">К</w:t>
      </w:r>
      <w:r>
        <w:t xml:space="preserve">лиента через сеть Интернет с последующим дистанцио</w:t>
      </w:r>
      <w:r>
        <w:t xml:space="preserve">нным хищением ключей Э</w:t>
      </w:r>
      <w:r>
        <w:t xml:space="preserve">П </w:t>
      </w:r>
      <w:r>
        <w:t xml:space="preserve">К</w:t>
      </w:r>
      <w:r>
        <w:t xml:space="preserve">лиентов, логинов</w:t>
      </w:r>
      <w:r>
        <w:t xml:space="preserve">,</w:t>
      </w:r>
      <w:r>
        <w:t xml:space="preserve"> паролей</w:t>
      </w:r>
      <w:r>
        <w:t xml:space="preserve"> и </w:t>
      </w:r>
      <w:r>
        <w:t xml:space="preserve">PIN-код</w:t>
      </w:r>
      <w:r>
        <w:t xml:space="preserve">ов</w:t>
      </w:r>
      <w:r>
        <w:t xml:space="preserve"> доступа </w:t>
      </w:r>
      <w:r>
        <w:br w:type="textWrapping" w:clear="all"/>
      </w:r>
      <w:r>
        <w:t xml:space="preserve">к </w:t>
      </w:r>
      <w:r>
        <w:t xml:space="preserve">ИС Свой Бизнес</w:t>
      </w:r>
      <w:r>
        <w:t xml:space="preserve">.</w:t>
      </w:r>
      <w:r/>
    </w:p>
    <w:p>
      <w:pPr>
        <w:pStyle w:val="680"/>
        <w:ind w:firstLine="708"/>
        <w:jc w:val="both"/>
      </w:pPr>
      <w:r>
        <w:t xml:space="preserve">Следует понимать, что н</w:t>
      </w:r>
      <w:r>
        <w:t xml:space="preserve">аправл</w:t>
      </w:r>
      <w:r>
        <w:t xml:space="preserve">енные</w:t>
      </w:r>
      <w:r>
        <w:t xml:space="preserve"> злоумышленниками </w:t>
      </w:r>
      <w:r>
        <w:t xml:space="preserve">электронные </w:t>
      </w:r>
      <w:r>
        <w:t xml:space="preserve">документы, подписанные д</w:t>
      </w:r>
      <w:r>
        <w:t xml:space="preserve">ействующими ключами Э</w:t>
      </w:r>
      <w:r>
        <w:t xml:space="preserve">П </w:t>
      </w:r>
      <w:r>
        <w:t xml:space="preserve">К</w:t>
      </w:r>
      <w:r>
        <w:t xml:space="preserve">лиента, имеющие обычные реквизиты отправителя и получателя и типовое назначение платежа должны быть исполнены </w:t>
      </w:r>
      <w:r>
        <w:t xml:space="preserve">Б</w:t>
      </w:r>
      <w:r>
        <w:t xml:space="preserve">анком. При этом вся ответственность за убытки безусловно и полностью возлагается на </w:t>
      </w:r>
      <w:r>
        <w:t xml:space="preserve">К</w:t>
      </w:r>
      <w:r>
        <w:t xml:space="preserve">лиентов как единственн</w:t>
      </w:r>
      <w:r>
        <w:t xml:space="preserve">ых владельцев ключей Э</w:t>
      </w:r>
      <w:r>
        <w:t xml:space="preserve">П.</w:t>
      </w:r>
      <w:r>
        <w:t xml:space="preserve"> </w:t>
      </w:r>
      <w:r/>
    </w:p>
    <w:p>
      <w:pPr>
        <w:pStyle w:val="680"/>
        <w:ind w:firstLine="708"/>
        <w:jc w:val="both"/>
      </w:pPr>
      <w:r>
        <w:t xml:space="preserve">Исходя из вышеизложенного,</w:t>
      </w:r>
      <w:r>
        <w:t xml:space="preserve"> </w:t>
      </w:r>
      <w:r>
        <w:t xml:space="preserve">в целях обеспечения информационной безопасности </w:t>
      </w:r>
      <w:r>
        <w:t xml:space="preserve">при </w:t>
      </w:r>
      <w:r>
        <w:t xml:space="preserve">использовании</w:t>
      </w:r>
      <w:r>
        <w:t xml:space="preserve"> </w:t>
      </w:r>
      <w:r>
        <w:t xml:space="preserve">ИС Свой Бизнес </w:t>
      </w:r>
      <w:r>
        <w:t xml:space="preserve">Банк</w:t>
      </w:r>
      <w:r>
        <w:t xml:space="preserve"> </w:t>
      </w:r>
      <w:r>
        <w:t xml:space="preserve">рекомендует: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1.</w:t>
      </w:r>
      <w:r>
        <w:tab/>
      </w:r>
      <w:r>
        <w:t xml:space="preserve">С</w:t>
      </w:r>
      <w:r>
        <w:t xml:space="preserve">облюдать меры безопасности</w:t>
      </w:r>
      <w:r>
        <w:t xml:space="preserve"> по режиму</w:t>
      </w:r>
      <w:r>
        <w:t xml:space="preserve">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размещать компьютеры</w:t>
      </w:r>
      <w:r>
        <w:t xml:space="preserve">/</w:t>
      </w:r>
      <w:r>
        <w:t xml:space="preserve">мобильные устройства</w:t>
      </w:r>
      <w:r>
        <w:t xml:space="preserve"> в помещениях, которые обеспечивают безопасность </w:t>
      </w:r>
      <w:r>
        <w:t xml:space="preserve">конфиденциальной </w:t>
      </w:r>
      <w:r>
        <w:t xml:space="preserve">информац</w:t>
      </w:r>
      <w:r>
        <w:t xml:space="preserve">ии, СКЗИ, ключей Э</w:t>
      </w:r>
      <w:r>
        <w:t xml:space="preserve">П;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исключить доступ к компьютерам</w:t>
      </w:r>
      <w:r>
        <w:t xml:space="preserve">/</w:t>
      </w:r>
      <w:r>
        <w:t xml:space="preserve">мобильным устройствам</w:t>
      </w:r>
      <w:r>
        <w:t xml:space="preserve">, использующимся </w:t>
      </w:r>
      <w:r>
        <w:br w:type="textWrapping" w:clear="all"/>
      </w:r>
      <w:r>
        <w:t xml:space="preserve">в </w:t>
      </w:r>
      <w:r>
        <w:t xml:space="preserve">ИС Свой Бизнес</w:t>
      </w:r>
      <w:r>
        <w:t xml:space="preserve">, персонала, не имеющего отношения к работе в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обеспечить контроль за действиями </w:t>
      </w:r>
      <w:r>
        <w:rPr>
          <w:lang w:val="en-US"/>
        </w:rPr>
        <w:t xml:space="preserve">IT</w:t>
      </w:r>
      <w:r>
        <w:t xml:space="preserve">-специалистов при обслуживании компьютеров</w:t>
      </w:r>
      <w:r>
        <w:t xml:space="preserve">/</w:t>
      </w:r>
      <w:r>
        <w:t xml:space="preserve">мобильных устройств</w:t>
      </w:r>
      <w:r>
        <w:t xml:space="preserve">, подключенных к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размещение и установка СКЗИ должны удовлетворять требованиям документации на СКЗИ.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2.</w:t>
      </w:r>
      <w:r>
        <w:tab/>
      </w:r>
      <w:r>
        <w:t xml:space="preserve">Обеспеч</w:t>
      </w:r>
      <w:r>
        <w:t xml:space="preserve">ить</w:t>
      </w:r>
      <w:r>
        <w:t xml:space="preserve"> безопасност</w:t>
      </w:r>
      <w:r>
        <w:t xml:space="preserve">ь</w:t>
      </w:r>
      <w:r>
        <w:t xml:space="preserve"> ключей Э</w:t>
      </w:r>
      <w:r>
        <w:t xml:space="preserve">П</w:t>
      </w:r>
      <w:r>
        <w:t xml:space="preserve">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хранить ключи Э</w:t>
      </w:r>
      <w:r>
        <w:t xml:space="preserve">П только на </w:t>
      </w:r>
      <w:r>
        <w:t xml:space="preserve">КН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использовать </w:t>
      </w:r>
      <w:r>
        <w:t xml:space="preserve">съемные носители информации</w:t>
      </w:r>
      <w:r>
        <w:t xml:space="preserve">, предназначенные для хранения</w:t>
      </w:r>
      <w:r>
        <w:t xml:space="preserve"> ключей Э</w:t>
      </w:r>
      <w:r>
        <w:t xml:space="preserve">П,</w:t>
      </w:r>
      <w:r>
        <w:t xml:space="preserve"> для каких-либо </w:t>
      </w:r>
      <w:r>
        <w:t xml:space="preserve">иных </w:t>
      </w:r>
      <w:r>
        <w:t xml:space="preserve">целей;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работу с ключами</w:t>
      </w:r>
      <w:r>
        <w:t xml:space="preserve"> ЭП</w:t>
      </w:r>
      <w:r>
        <w:t xml:space="preserve"> поручать только специально выделенным работникам, которые </w:t>
      </w:r>
      <w:r>
        <w:t xml:space="preserve">должны </w:t>
      </w:r>
      <w:r>
        <w:t xml:space="preserve">нес</w:t>
      </w:r>
      <w:r>
        <w:t xml:space="preserve">ти</w:t>
      </w:r>
      <w:r>
        <w:t xml:space="preserve"> персональную ответственность за сохранность</w:t>
      </w:r>
      <w:r>
        <w:t xml:space="preserve"> ключей</w:t>
      </w:r>
      <w:r>
        <w:t xml:space="preserve"> ЭП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 ключи ЭП каждого уполномоченного лица Клиента должны храниться на отдельном КН;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незамедлительно </w:t>
      </w:r>
      <w:r>
        <w:t xml:space="preserve">сообщать </w:t>
      </w:r>
      <w:r>
        <w:t xml:space="preserve">У</w:t>
      </w:r>
      <w:r>
        <w:t xml:space="preserve">полномоченным работникам </w:t>
      </w:r>
      <w:r>
        <w:t xml:space="preserve">Банка</w:t>
      </w:r>
      <w:r>
        <w:t xml:space="preserve"> о фактах компрометации или подозрения в компрометации ключей</w:t>
      </w:r>
      <w:r>
        <w:t xml:space="preserve"> ЭП</w:t>
      </w:r>
      <w:r>
        <w:t xml:space="preserve">, </w:t>
      </w:r>
      <w:r>
        <w:t xml:space="preserve">в том числе,</w:t>
      </w:r>
      <w:r>
        <w:t xml:space="preserve"> </w:t>
      </w:r>
      <w:r>
        <w:t xml:space="preserve">о переводе </w:t>
      </w:r>
      <w:r>
        <w:br w:type="textWrapping" w:clear="all"/>
      </w:r>
      <w:r>
        <w:t xml:space="preserve">на другую работу </w:t>
      </w:r>
      <w:r>
        <w:t xml:space="preserve">или увольнении работников, имевших доступ к ключевой информации</w:t>
      </w:r>
      <w:r>
        <w:t xml:space="preserve"> (использование скомпрометированного ключа </w:t>
      </w:r>
      <w:r>
        <w:t xml:space="preserve">ЭП </w:t>
      </w:r>
      <w:r>
        <w:t xml:space="preserve">должно быть </w:t>
      </w:r>
      <w:r>
        <w:t xml:space="preserve">немедленно прекращ</w:t>
      </w:r>
      <w:r>
        <w:t xml:space="preserve">ено</w:t>
      </w:r>
      <w:r>
        <w:t xml:space="preserve">);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предусмотреть х</w:t>
      </w:r>
      <w:r>
        <w:t xml:space="preserve">ранение </w:t>
      </w:r>
      <w:r>
        <w:t xml:space="preserve">КН </w:t>
      </w:r>
      <w:r>
        <w:t xml:space="preserve">с ключами Э</w:t>
      </w:r>
      <w:r>
        <w:t xml:space="preserve">П</w:t>
      </w:r>
      <w:r>
        <w:t xml:space="preserve"> в надежном хранилище (сейф, металлический шкаф)</w:t>
      </w:r>
      <w:r>
        <w:t xml:space="preserve">, допуская их извлечение только на период </w:t>
      </w:r>
      <w:r>
        <w:t xml:space="preserve">непосредственной </w:t>
      </w:r>
      <w:r>
        <w:t xml:space="preserve">работы </w:t>
      </w:r>
      <w:r>
        <w:br w:type="textWrapping" w:clear="all"/>
      </w:r>
      <w:r>
        <w:t xml:space="preserve">с ключами</w:t>
      </w:r>
      <w:r>
        <w:t xml:space="preserve"> ЭП</w:t>
      </w:r>
      <w:r>
        <w:t xml:space="preserve">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обеспечить контроль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при их нахождении вне хранилища </w:t>
      </w:r>
      <w:r>
        <w:br w:type="textWrapping" w:clear="all"/>
      </w:r>
      <w:r>
        <w:t xml:space="preserve">(в случае даже кратковременного отсутствия </w:t>
      </w:r>
      <w:r>
        <w:t xml:space="preserve">на рабочем месте </w:t>
      </w:r>
      <w:r>
        <w:t xml:space="preserve">работника, ответственного </w:t>
      </w:r>
      <w:r>
        <w:br w:type="textWrapping" w:clear="all"/>
      </w:r>
      <w:r>
        <w:t xml:space="preserve">за ключи</w:t>
      </w:r>
      <w:r>
        <w:t xml:space="preserve"> ЭП</w:t>
      </w:r>
      <w:r>
        <w:t xml:space="preserve">, </w:t>
      </w:r>
      <w:r>
        <w:t xml:space="preserve">КН </w:t>
      </w:r>
      <w:r>
        <w:t xml:space="preserve">ключей</w:t>
      </w:r>
      <w:r>
        <w:t xml:space="preserve"> ЭП</w:t>
      </w:r>
      <w:r>
        <w:t xml:space="preserve"> должны быть убраны в хранилище);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использовании системы </w:t>
      </w:r>
      <w:r>
        <w:t xml:space="preserve">Интернет-банк Свой Бизнес с УНЭП</w:t>
      </w:r>
      <w:r>
        <w:t xml:space="preserve"> </w:t>
      </w:r>
      <w:r>
        <w:t xml:space="preserve">устанавливать </w:t>
      </w:r>
      <w:r>
        <w:t xml:space="preserve">в</w:t>
      </w:r>
      <w:r>
        <w:t xml:space="preserve"> компьютер </w:t>
      </w:r>
      <w:r>
        <w:t xml:space="preserve">КН </w:t>
      </w:r>
      <w:r>
        <w:t xml:space="preserve">с ключами</w:t>
      </w:r>
      <w:r>
        <w:t xml:space="preserve"> ЭП</w:t>
      </w:r>
      <w:r>
        <w:t xml:space="preserve"> только </w:t>
      </w:r>
      <w:r>
        <w:t xml:space="preserve">для авторизации </w:t>
      </w:r>
      <w:r>
        <w:t xml:space="preserve">К</w:t>
      </w:r>
      <w:r>
        <w:t xml:space="preserve">лиента</w:t>
      </w:r>
      <w:r>
        <w:t xml:space="preserve"> и </w:t>
      </w:r>
      <w:r>
        <w:t xml:space="preserve">подписания </w:t>
      </w:r>
      <w:r>
        <w:t xml:space="preserve">ЭД</w:t>
      </w:r>
      <w:r>
        <w:t xml:space="preserve"> </w:t>
      </w:r>
      <w:r>
        <w:t xml:space="preserve">Э</w:t>
      </w:r>
      <w:r>
        <w:t xml:space="preserve">П </w:t>
      </w:r>
      <w:r>
        <w:t xml:space="preserve">(</w:t>
      </w:r>
      <w:r>
        <w:t xml:space="preserve">после выполнения отмеченных операций </w:t>
      </w:r>
      <w:r>
        <w:t xml:space="preserve">носители с ключами </w:t>
      </w:r>
      <w:r>
        <w:t xml:space="preserve">ЭП </w:t>
      </w:r>
      <w:r>
        <w:t xml:space="preserve">должны быть извлечены из </w:t>
      </w:r>
      <w:r>
        <w:t xml:space="preserve">комп</w:t>
      </w:r>
      <w:r>
        <w:t xml:space="preserve">ь</w:t>
      </w:r>
      <w:r>
        <w:t xml:space="preserve">ютер</w:t>
      </w:r>
      <w:r>
        <w:t xml:space="preserve">а</w:t>
      </w:r>
      <w:r>
        <w:t xml:space="preserve">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передавать ключи Э</w:t>
      </w:r>
      <w:r>
        <w:t xml:space="preserve">П</w:t>
      </w:r>
      <w:r>
        <w:t xml:space="preserve">/</w:t>
      </w:r>
      <w:r>
        <w:t xml:space="preserve">КН</w:t>
      </w:r>
      <w:r>
        <w:t xml:space="preserve">, а также логин и пароль</w:t>
      </w:r>
      <w:r>
        <w:t xml:space="preserve">/</w:t>
      </w:r>
      <w:r>
        <w:rPr>
          <w:lang w:val="en-US"/>
        </w:rPr>
        <w:t xml:space="preserve">PIN</w:t>
      </w:r>
      <w:r>
        <w:t xml:space="preserve">-код</w:t>
      </w:r>
      <w:r>
        <w:t xml:space="preserve"> доступа к </w:t>
      </w:r>
      <w:r>
        <w:t xml:space="preserve">ИС Свой Бизнес</w:t>
      </w:r>
      <w:r>
        <w:t xml:space="preserve"> кому-либо, в том числе </w:t>
      </w:r>
      <w:r>
        <w:rPr>
          <w:lang w:val="en-US"/>
        </w:rPr>
        <w:t xml:space="preserve">IT</w:t>
      </w:r>
      <w:r>
        <w:t xml:space="preserve">-специалистам при проверке работоспособности </w:t>
      </w:r>
      <w:r>
        <w:t xml:space="preserve">ИС Свой Бизнес</w:t>
      </w:r>
      <w:r>
        <w:t xml:space="preserve">, установке параметров и настройке аппаратуры;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находясь в общественном месте</w:t>
      </w:r>
      <w:r>
        <w:t xml:space="preserve">, </w:t>
      </w:r>
      <w:r>
        <w:rPr>
          <w:sz w:val="23"/>
          <w:szCs w:val="23"/>
        </w:rPr>
        <w:t xml:space="preserve">где услуги Интернета являются общедоступными, и/или предоставляются с использованием публичных беспроводных сетей</w:t>
      </w:r>
      <w:r>
        <w:t xml:space="preserve"> (выставка, библиотека, магазин, интернет-кафе и др.) </w:t>
      </w:r>
      <w:r>
        <w:t xml:space="preserve">по возможности </w:t>
      </w:r>
      <w:r>
        <w:t xml:space="preserve">исключить </w:t>
      </w:r>
      <w:r>
        <w:t xml:space="preserve">какие-либо действия </w:t>
      </w:r>
      <w:r>
        <w:br w:type="textWrapping" w:clear="all"/>
      </w:r>
      <w:r>
        <w:t xml:space="preserve">с ключами Э</w:t>
      </w:r>
      <w:r>
        <w:t xml:space="preserve">П</w:t>
      </w:r>
      <w:r>
        <w:t xml:space="preserve">/</w:t>
      </w:r>
      <w:r>
        <w:t xml:space="preserve">КН</w:t>
      </w:r>
      <w:r>
        <w:t xml:space="preserve">, логином и паролем</w:t>
      </w:r>
      <w:r>
        <w:t xml:space="preserve">/</w:t>
      </w:r>
      <w:r>
        <w:rPr>
          <w:lang w:val="en-US"/>
        </w:rPr>
        <w:t xml:space="preserve">PIN</w:t>
      </w:r>
      <w:r>
        <w:t xml:space="preserve">-кодом</w:t>
      </w:r>
      <w:r>
        <w:t xml:space="preserve"> доступа к </w:t>
      </w:r>
      <w:r>
        <w:t xml:space="preserve">ИС Свой Бизнес</w:t>
      </w:r>
      <w:r>
        <w:t xml:space="preserve">, а также использование публичных компьютеров, находящихся в общественном месте, для обмена сообщениями с </w:t>
      </w:r>
      <w:r>
        <w:t xml:space="preserve">Банком</w:t>
      </w:r>
      <w:r>
        <w:t xml:space="preserve">.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3.</w:t>
      </w:r>
      <w:r>
        <w:tab/>
      </w:r>
      <w:r>
        <w:t xml:space="preserve">При</w:t>
      </w:r>
      <w:r>
        <w:t xml:space="preserve">ме</w:t>
      </w:r>
      <w:r>
        <w:t xml:space="preserve">нять </w:t>
      </w:r>
      <w:r>
        <w:t xml:space="preserve">необходимые </w:t>
      </w:r>
      <w:r>
        <w:t xml:space="preserve">ме</w:t>
      </w:r>
      <w:r>
        <w:t xml:space="preserve">ры антивирусной защиты: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применять на </w:t>
      </w:r>
      <w:r>
        <w:t xml:space="preserve">компьютере</w:t>
      </w:r>
      <w:r>
        <w:t xml:space="preserve">/</w:t>
      </w:r>
      <w:r>
        <w:t xml:space="preserve">мобильном устройстве Клиента, на которых реализована работа в </w:t>
      </w:r>
      <w:r>
        <w:t xml:space="preserve">ИС Свой Бизнес</w:t>
      </w:r>
      <w:r>
        <w:t xml:space="preserve">,</w:t>
      </w:r>
      <w:r>
        <w:t xml:space="preserve"> лицензионные средства антивирусной защиты; обеспечить регулярное обновление антивирусных </w:t>
      </w:r>
      <w:r>
        <w:t xml:space="preserve">баз</w:t>
      </w:r>
      <w:r>
        <w:t xml:space="preserve"> и их поддержание в актуальном состоянии;</w:t>
      </w:r>
      <w:r>
        <w:t xml:space="preserve"> еженедельно проводить полную антивирусную проверку;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исключить посещение интернет-сайтов сомнительного содержания (в первую очередь, игровы</w:t>
      </w:r>
      <w:r>
        <w:t xml:space="preserve">х, спортивных</w:t>
      </w:r>
      <w:r>
        <w:t xml:space="preserve">, </w:t>
      </w:r>
      <w:r>
        <w:t xml:space="preserve">сайтов </w:t>
      </w:r>
      <w:r>
        <w:t xml:space="preserve">развлекательного характера) </w:t>
      </w:r>
      <w:r>
        <w:br w:type="textWrapping" w:clear="all"/>
      </w:r>
      <w:r>
        <w:t xml:space="preserve">с компьютеров</w:t>
      </w:r>
      <w:r>
        <w:t xml:space="preserve">/</w:t>
      </w:r>
      <w:r>
        <w:t xml:space="preserve">мобильных устройств</w:t>
      </w:r>
      <w:r>
        <w:t xml:space="preserve">, подключенных к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работе с электронной почтой не открывать</w:t>
      </w:r>
      <w:r>
        <w:t xml:space="preserve"> подозрительные</w:t>
      </w:r>
      <w:r>
        <w:t xml:space="preserve"> письма </w:t>
      </w:r>
      <w:r>
        <w:br w:type="textWrapping" w:clear="all"/>
      </w:r>
      <w:r>
        <w:t xml:space="preserve">и вложения к ним, поступившие от неизвестных отправителей,</w:t>
      </w:r>
      <w:r>
        <w:t xml:space="preserve"> в том числе сообщения </w:t>
      </w:r>
      <w:r>
        <w:br w:type="textWrapping" w:clear="all"/>
      </w:r>
      <w:r>
        <w:t xml:space="preserve">в мессенджерах или социальных сетях и</w:t>
      </w:r>
      <w:r>
        <w:t xml:space="preserve"> не переходить по содержащимся в таких письмах</w:t>
      </w:r>
      <w:r>
        <w:t xml:space="preserve">/</w:t>
      </w:r>
      <w:r>
        <w:t xml:space="preserve">сообщениях</w:t>
      </w:r>
      <w:r>
        <w:t xml:space="preserve"> ссылкам</w:t>
      </w:r>
      <w:r>
        <w:t xml:space="preserve"> (не активизировать ссылки)</w:t>
      </w:r>
      <w:r>
        <w:t xml:space="preserve">;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отвечать на письма, </w:t>
      </w:r>
      <w:r>
        <w:t xml:space="preserve">поступившие </w:t>
      </w:r>
      <w:r>
        <w:t xml:space="preserve">якобы от имени </w:t>
      </w:r>
      <w:r>
        <w:t xml:space="preserve">Банка</w:t>
      </w:r>
      <w:r>
        <w:t xml:space="preserve">, с предложениями (просьбами, требованиями) зайти на сайт, не принадлежащий домену </w:t>
      </w:r>
      <w:r>
        <w:t xml:space="preserve">Банка</w:t>
      </w:r>
      <w:r>
        <w:t xml:space="preserve"> или </w:t>
      </w:r>
      <w:r>
        <w:t xml:space="preserve">в которых запрашивается конфиденциальная информация (логин, пароль, иная конфиденциальная информация</w:t>
      </w:r>
      <w:r>
        <w:t xml:space="preserve"> Клиента)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использовать только</w:t>
      </w:r>
      <w:r>
        <w:t xml:space="preserve"> необходимое</w:t>
      </w:r>
      <w:r>
        <w:t xml:space="preserve"> программное обеспечение</w:t>
      </w:r>
      <w:r>
        <w:t xml:space="preserve"> для функционирования</w:t>
      </w:r>
      <w:r>
        <w:t xml:space="preserve"> </w:t>
      </w:r>
      <w:r>
        <w:t xml:space="preserve">ИС Свой Бизнес</w:t>
      </w:r>
      <w:r>
        <w:t xml:space="preserve">, </w:t>
      </w:r>
      <w:r>
        <w:t xml:space="preserve">предоставленное </w:t>
      </w:r>
      <w:r>
        <w:t xml:space="preserve">Банк</w:t>
      </w:r>
      <w:r>
        <w:t xml:space="preserve">ом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 устанавливать «Мобильный банк» на мобильном устройстве Клиента</w:t>
      </w:r>
      <w:r>
        <w:t xml:space="preserve"> </w:t>
      </w:r>
      <w:r>
        <w:t xml:space="preserve">только из доверенных источников размещенных в «Play Маркет» </w:t>
      </w:r>
      <w:r>
        <w:fldChar w:fldCharType="begin"/>
      </w:r>
      <w:r>
        <w:instrText xml:space="preserve"> HYPERLINK "https://play.google.com/store/apps/details?id=ru.rshb.dboul&amp;hl=ru" </w:instrText>
      </w:r>
      <w:r>
        <w:fldChar w:fldCharType="separate"/>
      </w:r>
      <w:r>
        <w:rPr>
          <w:rStyle w:val="698"/>
          <w:rFonts w:cs="Courier New"/>
        </w:rPr>
        <w:t xml:space="preserve">https://play.google.com/store/apps/details?id=ru.rshb.dboul&amp;hl=ru</w:t>
      </w:r>
      <w:r>
        <w:fldChar w:fldCharType="end"/>
      </w:r>
      <w:r>
        <w:t xml:space="preserve"> и «App Store» </w:t>
      </w:r>
      <w:r>
        <w:fldChar w:fldCharType="begin"/>
      </w:r>
      <w:r>
        <w:instrText xml:space="preserve"> HYPERLINK "https://itunes.apple.com/ru/app/россельхозбанк-бизнес-онлайн/id1313692875?mt=8" </w:instrText>
      </w:r>
      <w:r>
        <w:fldChar w:fldCharType="separate"/>
      </w:r>
      <w:r>
        <w:rPr>
          <w:rStyle w:val="698"/>
          <w:rFonts w:cs="Courier New"/>
        </w:rPr>
        <w:t xml:space="preserve">https://itunes.apple.com/ru/app/россельхозбанк-бизнес-онлайн/id1313692875?mt=8</w:t>
      </w:r>
      <w:r>
        <w:fldChar w:fldCharType="end"/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если компьютер</w:t>
      </w:r>
      <w:r>
        <w:t xml:space="preserve">/</w:t>
      </w:r>
      <w:r>
        <w:t xml:space="preserve">мобильное устройство Клиента</w:t>
      </w:r>
      <w:r>
        <w:t xml:space="preserve">, предназначенны</w:t>
      </w:r>
      <w:r>
        <w:t xml:space="preserve">е</w:t>
      </w:r>
      <w:r>
        <w:t xml:space="preserve"> для работы </w:t>
      </w:r>
      <w:r>
        <w:br w:type="textWrapping" w:clear="all"/>
      </w:r>
      <w:r>
        <w:t xml:space="preserve">в </w:t>
      </w:r>
      <w:r>
        <w:t xml:space="preserve">ИС Свой Бизнес</w:t>
      </w:r>
      <w:r>
        <w:t xml:space="preserve">, неожиданно перестал</w:t>
      </w:r>
      <w:r>
        <w:t xml:space="preserve">и</w:t>
      </w:r>
      <w:r>
        <w:t xml:space="preserve"> запускаться или выда</w:t>
      </w:r>
      <w:r>
        <w:t xml:space="preserve">ю</w:t>
      </w:r>
      <w:r>
        <w:t xml:space="preserve">т непонятные сообщения</w:t>
      </w:r>
      <w:r>
        <w:t xml:space="preserve">,</w:t>
      </w:r>
      <w:r>
        <w:t xml:space="preserve"> необходимо незамедлительно проинформировать об этом </w:t>
      </w:r>
      <w:r>
        <w:t xml:space="preserve">У</w:t>
      </w:r>
      <w:r>
        <w:t xml:space="preserve">полномоченных лиц </w:t>
      </w:r>
      <w:r>
        <w:t xml:space="preserve">Банка</w:t>
      </w:r>
      <w:r>
        <w:t xml:space="preserve"> </w:t>
      </w:r>
      <w:r>
        <w:br w:type="textWrapping" w:clear="all"/>
      </w:r>
      <w:r>
        <w:t xml:space="preserve">и исключить использование </w:t>
      </w:r>
      <w:r>
        <w:t xml:space="preserve">ключ</w:t>
      </w:r>
      <w:r>
        <w:t xml:space="preserve">ей</w:t>
      </w:r>
      <w:r>
        <w:t xml:space="preserve"> Э</w:t>
      </w:r>
      <w:r>
        <w:t xml:space="preserve">П</w:t>
      </w:r>
      <w:r>
        <w:t xml:space="preserve"> (извлечь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в случае его нахождения в</w:t>
      </w:r>
      <w:r>
        <w:t xml:space="preserve"> компьютер</w:t>
      </w:r>
      <w:r>
        <w:t xml:space="preserve">е</w:t>
      </w:r>
      <w:r>
        <w:t xml:space="preserve">)</w:t>
      </w:r>
      <w:r>
        <w:t xml:space="preserve">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увольнении штатных </w:t>
      </w:r>
      <w:r>
        <w:rPr>
          <w:lang w:val="en-US"/>
        </w:rPr>
        <w:t xml:space="preserve">IT</w:t>
      </w:r>
      <w:r>
        <w:t xml:space="preserve">-специалистов, осуществлявших обслуживание компьютеров</w:t>
      </w:r>
      <w:r>
        <w:t xml:space="preserve">/</w:t>
      </w:r>
      <w:r>
        <w:t xml:space="preserve">мобильных устройств Клиента</w:t>
      </w:r>
      <w:r>
        <w:t xml:space="preserve">, используемых для работы в </w:t>
      </w:r>
      <w:r>
        <w:t xml:space="preserve">ИС Свой Бизнес</w:t>
      </w:r>
      <w:r>
        <w:t xml:space="preserve">, </w:t>
      </w:r>
      <w:r>
        <w:br w:type="textWrapping" w:clear="all"/>
      </w:r>
      <w:r>
        <w:t xml:space="preserve">а также после любых действий внештатных </w:t>
      </w:r>
      <w:r>
        <w:rPr>
          <w:lang w:val="en-US"/>
        </w:rPr>
        <w:t xml:space="preserve">IT</w:t>
      </w:r>
      <w:r>
        <w:t xml:space="preserve">-специалистов или других работников, выполнявших какие-либо операции с компьютерами</w:t>
      </w:r>
      <w:r>
        <w:t xml:space="preserve">/</w:t>
      </w:r>
      <w:r>
        <w:t xml:space="preserve">мобильными устройствами Клиента</w:t>
      </w:r>
      <w:r>
        <w:t xml:space="preserve">, предназначенными для работы в </w:t>
      </w:r>
      <w:r>
        <w:t xml:space="preserve">ИС Свой Бизнес</w:t>
      </w:r>
      <w:r>
        <w:t xml:space="preserve">, </w:t>
      </w:r>
      <w:r>
        <w:t xml:space="preserve">провести проверку компьютеров</w:t>
      </w:r>
      <w:r>
        <w:t xml:space="preserve">/</w:t>
      </w:r>
      <w:r>
        <w:t xml:space="preserve">мобильных устройств Клиента</w:t>
      </w:r>
      <w:r>
        <w:t xml:space="preserve"> на отсутствие вредоносных программ</w:t>
      </w:r>
      <w:r>
        <w:t xml:space="preserve"> (вирусов)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возникновении подозрений о наличие в компьютере вредоносных программ</w:t>
      </w:r>
      <w:r>
        <w:t xml:space="preserve"> (вирусов)</w:t>
      </w:r>
      <w:r>
        <w:t xml:space="preserve">,</w:t>
      </w:r>
      <w:r>
        <w:t xml:space="preserve"> незамедлительно </w:t>
      </w:r>
      <w:r>
        <w:t xml:space="preserve">исключить использование </w:t>
      </w:r>
      <w:r>
        <w:t xml:space="preserve">ключ</w:t>
      </w:r>
      <w:r>
        <w:t xml:space="preserve">ей</w:t>
      </w:r>
      <w:r>
        <w:t xml:space="preserve"> Э</w:t>
      </w:r>
      <w:r>
        <w:t xml:space="preserve">П</w:t>
      </w:r>
      <w:r>
        <w:t xml:space="preserve"> (извлечь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в случае его нахождения в компьютере)</w:t>
      </w:r>
      <w:r>
        <w:t xml:space="preserve"> </w:t>
      </w:r>
      <w:r>
        <w:t xml:space="preserve">и сообщить об инциденте в </w:t>
      </w:r>
      <w:r>
        <w:t xml:space="preserve">Банк</w:t>
      </w:r>
      <w:r>
        <w:t xml:space="preserve"> (возобновление работы с ключами </w:t>
      </w:r>
      <w:r>
        <w:t xml:space="preserve">ЭП </w:t>
      </w:r>
      <w:r>
        <w:t xml:space="preserve">допустимо только после проверки компьютера</w:t>
      </w:r>
      <w:r>
        <w:t xml:space="preserve"> и устранения зараженности</w:t>
      </w:r>
      <w:r>
        <w:t xml:space="preserve">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  <w:rPr>
          <w:bCs/>
        </w:rPr>
      </w:pPr>
      <w:r>
        <w:t xml:space="preserve">-</w:t>
        <w:tab/>
      </w:r>
      <w:r>
        <w:rPr>
          <w:bCs/>
        </w:rPr>
        <w:t xml:space="preserve">исключить использование специализированного программного обеспечения для удаленного администрирования («</w:t>
      </w:r>
      <w:r>
        <w:rPr>
          <w:bCs/>
          <w:lang w:val="en-US"/>
        </w:rPr>
        <w:t xml:space="preserve">RAdmin</w:t>
      </w:r>
      <w:r>
        <w:rPr>
          <w:bCs/>
        </w:rPr>
        <w:t xml:space="preserve">», «</w:t>
      </w:r>
      <w:r>
        <w:rPr>
          <w:bCs/>
          <w:lang w:val="en-US"/>
        </w:rPr>
        <w:t xml:space="preserve">TeamViewer</w:t>
      </w:r>
      <w:r>
        <w:rPr>
          <w:bCs/>
        </w:rPr>
        <w:t xml:space="preserve">», «</w:t>
      </w:r>
      <w:r>
        <w:rPr>
          <w:bCs/>
          <w:lang w:val="en-US"/>
        </w:rPr>
        <w:t xml:space="preserve">Ammyy</w:t>
      </w:r>
      <w:r>
        <w:rPr>
          <w:bCs/>
        </w:rPr>
        <w:t xml:space="preserve"> </w:t>
      </w:r>
      <w:r>
        <w:rPr>
          <w:bCs/>
          <w:lang w:val="en-US"/>
        </w:rPr>
        <w:t xml:space="preserve">Admin</w:t>
      </w:r>
      <w:r>
        <w:rPr>
          <w:bCs/>
        </w:rPr>
        <w:t xml:space="preserve">» и другого программного обеспечения с подобным функционалом) на компьютере</w:t>
      </w:r>
      <w:r>
        <w:rPr>
          <w:bCs/>
        </w:rPr>
        <w:t xml:space="preserve">/</w:t>
      </w:r>
      <w:r>
        <w:t xml:space="preserve">мобильном устройстве Клиента</w:t>
      </w:r>
      <w:r>
        <w:rPr>
          <w:bCs/>
        </w:rPr>
        <w:t xml:space="preserve">, </w:t>
      </w:r>
      <w:r>
        <w:rPr>
          <w:bCs/>
        </w:rPr>
        <w:t xml:space="preserve">подключенного к </w:t>
      </w:r>
      <w:r>
        <w:t xml:space="preserve">ИС Свой Бизнес</w:t>
      </w:r>
      <w:r>
        <w:rPr>
          <w:bCs/>
        </w:rPr>
        <w:t xml:space="preserve">. Если на компьютере</w:t>
      </w:r>
      <w:r>
        <w:rPr>
          <w:bCs/>
        </w:rPr>
        <w:t xml:space="preserve">/</w:t>
      </w:r>
      <w:r>
        <w:t xml:space="preserve">мобильном устройстве </w:t>
      </w:r>
      <w:r>
        <w:rPr>
          <w:bCs/>
        </w:rPr>
        <w:t xml:space="preserve">К</w:t>
      </w:r>
      <w:r>
        <w:rPr>
          <w:bCs/>
        </w:rPr>
        <w:t xml:space="preserve">лиента, с которого осуществляется взаимодействие с </w:t>
      </w:r>
      <w:r>
        <w:t xml:space="preserve">ИС Свой Бизнес</w:t>
      </w:r>
      <w:r>
        <w:rPr>
          <w:bCs/>
        </w:rPr>
        <w:t xml:space="preserve">, установлено специализированное программное обеспечение для удаленного администрирования, то Банк не несет ответственности за несанкционированный доступ к данным </w:t>
      </w:r>
      <w:r>
        <w:rPr>
          <w:bCs/>
        </w:rPr>
        <w:t xml:space="preserve">К</w:t>
      </w:r>
      <w:r>
        <w:rPr>
          <w:bCs/>
        </w:rPr>
        <w:t xml:space="preserve">лиента Банка сторонними лицами, в том числе к счетам и/или депозитам Клиента.</w:t>
      </w:r>
      <w:r>
        <w:rPr>
          <w:bCs/>
        </w:rPr>
      </w:r>
      <w:r>
        <w:rPr>
          <w:bCs/>
        </w:rPr>
      </w:r>
    </w:p>
    <w:p>
      <w:pPr>
        <w:pStyle w:val="680"/>
        <w:ind w:firstLine="709"/>
        <w:jc w:val="both"/>
      </w:pPr>
      <w:r>
        <w:t xml:space="preserve">- </w:t>
      </w:r>
      <w:r>
        <w:t xml:space="preserve">при взаимодействии с контрагентами и получении по электронной почте реквизитов на перевод денежных средств необходимо дополнительно проверить и подтвердить </w:t>
      </w:r>
      <w:r>
        <w:br w:type="textWrapping" w:clear="all"/>
      </w:r>
      <w:r>
        <w:t xml:space="preserve">у контрагента реквизиты по альтернативным каналам передачи данных. После перевода денежных средств получить информацию от контрагента об успешном получении денежных средств. 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4.</w:t>
      </w:r>
      <w:r>
        <w:tab/>
      </w:r>
      <w:r>
        <w:t xml:space="preserve">Формировать </w:t>
      </w:r>
      <w:r>
        <w:t xml:space="preserve">парол</w:t>
      </w:r>
      <w:r>
        <w:t xml:space="preserve">ь</w:t>
      </w:r>
      <w:r>
        <w:t xml:space="preserve"> доступа к </w:t>
      </w:r>
      <w:r>
        <w:t xml:space="preserve">ИС Свой Бизнес</w:t>
      </w:r>
      <w:r>
        <w:t xml:space="preserve"> </w:t>
      </w:r>
      <w:r>
        <w:t xml:space="preserve">с учетом следующих требований: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парол</w:t>
      </w:r>
      <w:r>
        <w:t xml:space="preserve">ь</w:t>
      </w:r>
      <w:r>
        <w:t xml:space="preserve"> долж</w:t>
      </w:r>
      <w:r>
        <w:t xml:space="preserve">е</w:t>
      </w:r>
      <w:r>
        <w:t xml:space="preserve">н </w:t>
      </w:r>
      <w:r>
        <w:t xml:space="preserve">содержать</w:t>
      </w:r>
      <w:r>
        <w:t xml:space="preserve"> </w:t>
      </w:r>
      <w:r>
        <w:t xml:space="preserve">не менее 8 символов латиницы и кириллицы (</w:t>
      </w:r>
      <w:r>
        <w:t xml:space="preserve">цифры, специальные символы и буквы алфавита в верхнем и нижнем регистрах</w:t>
      </w:r>
      <w:r>
        <w:t xml:space="preserve">)</w:t>
      </w:r>
      <w:r>
        <w:t xml:space="preserve">;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последовательность символов не должна содержать очевидных закономерностей;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пароль не должен содержать: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комбинации символов, несущих смысловую нагрузку (имена, фамилии, названия)</w:t>
      </w:r>
      <w:r>
        <w:t xml:space="preserve">;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последовательность символов, состоящих только из цифр (в том числе, номера телефонов, памятные даты</w:t>
      </w:r>
      <w:r>
        <w:t xml:space="preserve">, реквизиты </w:t>
      </w:r>
      <w:r>
        <w:t xml:space="preserve">К</w:t>
      </w:r>
      <w:r>
        <w:t xml:space="preserve">лиента</w:t>
      </w:r>
      <w:r>
        <w:t xml:space="preserve"> и т.п.</w:t>
      </w:r>
      <w:r>
        <w:t xml:space="preserve">) или букв;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последовательности повторяющихся букв и цифр;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</w:t>
      </w:r>
      <w:r>
        <w:t xml:space="preserve">одряд идущие в алфавите или раскладке клавиатуры символы;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регулярно проводить смену пароля (</w:t>
      </w:r>
      <w:r>
        <w:t xml:space="preserve">не реже </w:t>
      </w:r>
      <w:r>
        <w:t xml:space="preserve">1 раз</w:t>
      </w:r>
      <w:r>
        <w:t xml:space="preserve">а</w:t>
      </w:r>
      <w:r>
        <w:t xml:space="preserve"> в месяц).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5.</w:t>
      </w:r>
      <w:r>
        <w:tab/>
      </w:r>
      <w:r>
        <w:t xml:space="preserve">П</w:t>
      </w:r>
      <w:r>
        <w:t xml:space="preserve">омнить, что </w:t>
      </w:r>
      <w:r>
        <w:t xml:space="preserve">Банк</w:t>
      </w:r>
      <w:r>
        <w:t xml:space="preserve"> никогда не запрашивает у </w:t>
      </w:r>
      <w:r>
        <w:t xml:space="preserve">К</w:t>
      </w:r>
      <w:r>
        <w:t xml:space="preserve">лиентов информацию </w:t>
      </w:r>
      <w:r>
        <w:t xml:space="preserve">(в том числе, путем рассылки электронных писем) </w:t>
      </w:r>
      <w:r>
        <w:t xml:space="preserve">об и</w:t>
      </w:r>
      <w:r>
        <w:t xml:space="preserve">х персональных данных, ключах Э</w:t>
      </w:r>
      <w:r>
        <w:t xml:space="preserve">П, логине </w:t>
      </w:r>
      <w:r>
        <w:br w:type="textWrapping" w:clear="all"/>
      </w:r>
      <w:r>
        <w:t xml:space="preserve">и пароле</w:t>
      </w:r>
      <w:r>
        <w:t xml:space="preserve">/</w:t>
      </w:r>
      <w:r>
        <w:rPr>
          <w:lang w:val="en-US"/>
        </w:rPr>
        <w:t xml:space="preserve">PIN</w:t>
      </w:r>
      <w:r>
        <w:t xml:space="preserve">-коде</w:t>
      </w:r>
      <w:r>
        <w:t xml:space="preserve"> доступа к </w:t>
      </w:r>
      <w:r>
        <w:t xml:space="preserve">ИС Свой Бизнес</w:t>
      </w:r>
      <w:r>
        <w:t xml:space="preserve">. При поступлении таких запросов</w:t>
      </w:r>
      <w:r>
        <w:t xml:space="preserve">, не отвечая </w:t>
      </w:r>
      <w:r>
        <w:br w:type="textWrapping" w:clear="all"/>
      </w:r>
      <w:r>
        <w:t xml:space="preserve">на них, </w:t>
      </w:r>
      <w:r>
        <w:t xml:space="preserve">следует незамедлительно поставить в известность </w:t>
      </w:r>
      <w:r>
        <w:t xml:space="preserve">У</w:t>
      </w:r>
      <w:r>
        <w:t xml:space="preserve">полномоченных лиц </w:t>
      </w:r>
      <w:r>
        <w:t xml:space="preserve">Банка</w:t>
      </w:r>
      <w:r>
        <w:t xml:space="preserve">.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6</w:t>
      </w:r>
      <w:r>
        <w:t xml:space="preserve">.</w:t>
      </w:r>
      <w:r>
        <w:tab/>
      </w:r>
      <w:r>
        <w:t xml:space="preserve">Строго соблюдать положения документов </w:t>
      </w:r>
      <w:r>
        <w:t xml:space="preserve">Банка</w:t>
      </w:r>
      <w:r>
        <w:t xml:space="preserve">, регламентирующих условия доступа </w:t>
      </w:r>
      <w:r>
        <w:t xml:space="preserve">К</w:t>
      </w:r>
      <w:r>
        <w:t xml:space="preserve">лиента к </w:t>
      </w:r>
      <w:r>
        <w:t xml:space="preserve">ИС Свой Бизнес</w:t>
      </w:r>
      <w:r>
        <w:t xml:space="preserve">, требования по использованию, хранению, уничтож</w:t>
      </w:r>
      <w:r>
        <w:t xml:space="preserve">ению криптографических ключей Э</w:t>
      </w:r>
      <w:r>
        <w:t xml:space="preserve">П, СКЗИ, логинов, паролей</w:t>
      </w:r>
      <w:r>
        <w:t xml:space="preserve">/</w:t>
      </w:r>
      <w:r>
        <w:rPr>
          <w:lang w:val="en-US"/>
        </w:rPr>
        <w:t xml:space="preserve">PIN</w:t>
      </w:r>
      <w:r>
        <w:t xml:space="preserve">-кодов</w:t>
      </w:r>
      <w:r>
        <w:t xml:space="preserve">, а также выполнять все рекомендации </w:t>
      </w:r>
      <w:r>
        <w:t xml:space="preserve">Банка</w:t>
      </w:r>
      <w:r>
        <w:t xml:space="preserve"> по эксплуатации технических средств.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7.</w:t>
      </w:r>
      <w:r>
        <w:tab/>
      </w:r>
      <w:r>
        <w:t xml:space="preserve">Обращаться в </w:t>
      </w:r>
      <w:r>
        <w:t xml:space="preserve">Банк</w:t>
      </w:r>
      <w:r>
        <w:t xml:space="preserve"> по всем вопросам организации электронного документооборота по телефонам, переданным </w:t>
      </w:r>
      <w:r>
        <w:t xml:space="preserve">К</w:t>
      </w:r>
      <w:r>
        <w:t xml:space="preserve">лиенту</w:t>
      </w:r>
      <w:r>
        <w:t xml:space="preserve"> при открытии банковского счета или указанным в договоре банковского обслуживания с использованием </w:t>
      </w:r>
      <w:r>
        <w:t xml:space="preserve">ИС Свой Бизнес</w:t>
      </w:r>
      <w:r>
        <w:t xml:space="preserve">.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Helvetica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4</w:t>
    </w:r>
    <w:r>
      <w:rPr>
        <w:rStyle w:val="694"/>
      </w:rPr>
      <w:fldChar w:fldCharType="end"/>
    </w:r>
    <w:r>
      <w:rPr>
        <w:rStyle w:val="694"/>
      </w:rPr>
    </w:r>
    <w:r>
      <w:rPr>
        <w:rStyle w:val="694"/>
      </w:rPr>
    </w:r>
  </w:p>
  <w:p>
    <w:pPr>
      <w:pStyle w:val="6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  <w:r>
      <w:rPr>
        <w:rStyle w:val="694"/>
      </w:rPr>
    </w:r>
  </w:p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5" w:hanging="705"/>
        <w:tabs>
          <w:tab w:val="num" w:pos="70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40" w:hanging="360"/>
        <w:tabs>
          <w:tab w:val="num" w:pos="84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19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1760" w:hanging="113"/>
        <w:tabs>
          <w:tab w:val="num" w:pos="2007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  <w:tabs>
          <w:tab w:val="num" w:pos="272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  <w:tabs>
          <w:tab w:val="num" w:pos="344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  <w:tabs>
          <w:tab w:val="num" w:pos="416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  <w:tabs>
          <w:tab w:val="num" w:pos="488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  <w:tabs>
          <w:tab w:val="num" w:pos="560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  <w:tabs>
          <w:tab w:val="num" w:pos="632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  <w:tabs>
          <w:tab w:val="num" w:pos="7047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bullet"/>
      <w:pStyle w:val="697"/>
      <w:isLgl w:val="false"/>
      <w:suff w:val="tab"/>
      <w:lvlText w:val=""/>
      <w:lvlJc w:val="left"/>
      <w:pPr>
        <w:ind w:left="2220" w:hanging="360"/>
        <w:tabs>
          <w:tab w:val="num" w:pos="2220" w:leader="none"/>
        </w:tabs>
      </w:pPr>
      <w:rPr>
        <w:rFonts w:ascii="Times New Roman" w:hAnsi="Times New Roman" w:cs="Times New Roman"/>
        <w:sz w:val="16"/>
      </w:rPr>
    </w:lvl>
    <w:lvl w:ilvl="2">
      <w:start w:val="1"/>
      <w:numFmt w:val="decimal"/>
      <w:isLgl w:val="false"/>
      <w:suff w:val="tab"/>
      <w:lvlText w:val="%3."/>
      <w:lvlJc w:val="left"/>
      <w:pPr>
        <w:ind w:left="3120" w:hanging="360"/>
        <w:tabs>
          <w:tab w:val="num" w:pos="31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  <w:tabs>
          <w:tab w:val="num" w:pos="36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  <w:tabs>
          <w:tab w:val="num" w:pos="43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  <w:tabs>
          <w:tab w:val="num" w:pos="51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  <w:tabs>
          <w:tab w:val="num" w:pos="58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  <w:tabs>
          <w:tab w:val="num" w:pos="65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  <w:tabs>
          <w:tab w:val="num" w:pos="72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2484" w:hanging="360"/>
        <w:tabs>
          <w:tab w:val="num" w:pos="2484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04" w:hanging="360"/>
        <w:tabs>
          <w:tab w:val="num" w:pos="1704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24" w:hanging="360"/>
        <w:tabs>
          <w:tab w:val="num" w:pos="2424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44" w:hanging="360"/>
        <w:tabs>
          <w:tab w:val="num" w:pos="3144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64" w:hanging="360"/>
        <w:tabs>
          <w:tab w:val="num" w:pos="3864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84" w:hanging="360"/>
        <w:tabs>
          <w:tab w:val="num" w:pos="4584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04" w:hanging="360"/>
        <w:tabs>
          <w:tab w:val="num" w:pos="5304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24" w:hanging="360"/>
        <w:tabs>
          <w:tab w:val="num" w:pos="6024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44" w:hanging="360"/>
        <w:tabs>
          <w:tab w:val="num" w:pos="6744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125" w:hanging="1125"/>
        <w:tabs>
          <w:tab w:val="num" w:pos="1125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834" w:hanging="1125"/>
        <w:tabs>
          <w:tab w:val="num" w:pos="18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60" w:hanging="1125"/>
        <w:tabs>
          <w:tab w:val="num" w:pos="22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52" w:hanging="1125"/>
        <w:tabs>
          <w:tab w:val="num" w:pos="325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1" w:hanging="1125"/>
        <w:tabs>
          <w:tab w:val="num" w:pos="396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70" w:hanging="1125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2136" w:hanging="360"/>
        <w:tabs>
          <w:tab w:val="num" w:pos="2136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9.%2"/>
      <w:lvlJc w:val="left"/>
      <w:pPr>
        <w:ind w:left="2568" w:hanging="432"/>
        <w:tabs>
          <w:tab w:val="num" w:pos="2568" w:leader="none"/>
        </w:tabs>
      </w:pPr>
      <w:rPr>
        <w:rFonts w:cs="Times New Roman"/>
      </w:rPr>
    </w:lvl>
    <w:lvl w:ilvl="2">
      <w:start w:val="11"/>
      <w:numFmt w:val="decimal"/>
      <w:isLgl w:val="false"/>
      <w:suff w:val="tab"/>
      <w:lvlText w:val="3.%3."/>
      <w:lvlJc w:val="left"/>
      <w:pPr>
        <w:ind w:left="3000" w:hanging="504"/>
        <w:tabs>
          <w:tab w:val="num" w:pos="321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9.4."/>
      <w:lvlJc w:val="left"/>
      <w:pPr>
        <w:ind w:left="3504" w:hanging="648"/>
        <w:tabs>
          <w:tab w:val="num" w:pos="357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9.5."/>
      <w:lvlJc w:val="left"/>
      <w:pPr>
        <w:ind w:left="4008" w:hanging="792"/>
        <w:tabs>
          <w:tab w:val="num" w:pos="429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512" w:hanging="936"/>
        <w:tabs>
          <w:tab w:val="num" w:pos="465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16" w:hanging="1080"/>
        <w:tabs>
          <w:tab w:val="num" w:pos="537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20" w:hanging="1224"/>
        <w:tabs>
          <w:tab w:val="num" w:pos="573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96" w:hanging="1440"/>
        <w:tabs>
          <w:tab w:val="num" w:pos="6456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9"/>
  </w:num>
  <w:num w:numId="9">
    <w:abstractNumId w:val="7"/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  <w:num w:numId="14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0"/>
    <w:next w:val="68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0"/>
    <w:next w:val="68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0"/>
    <w:next w:val="68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0"/>
    <w:next w:val="68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0"/>
    <w:next w:val="68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0"/>
    <w:next w:val="68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0"/>
    <w:next w:val="68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0"/>
    <w:next w:val="68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0"/>
    <w:next w:val="68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0"/>
    <w:next w:val="68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0"/>
    <w:next w:val="68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0"/>
    <w:next w:val="68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0"/>
    <w:next w:val="68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0"/>
    <w:next w:val="68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0"/>
    <w:next w:val="68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0"/>
    <w:next w:val="68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0"/>
    <w:next w:val="68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0"/>
    <w:next w:val="68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0"/>
    <w:next w:val="68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0"/>
    <w:next w:val="68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0"/>
    <w:next w:val="68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0"/>
    <w:next w:val="68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0"/>
    <w:next w:val="68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0"/>
    <w:next w:val="680"/>
    <w:uiPriority w:val="99"/>
    <w:unhideWhenUsed/>
    <w:pPr>
      <w:spacing w:after="0" w:afterAutospacing="0"/>
    </w:pPr>
  </w:style>
  <w:style w:type="paragraph" w:styleId="680" w:default="1">
    <w:name w:val="Normal"/>
    <w:next w:val="680"/>
    <w:link w:val="680"/>
    <w:qFormat/>
    <w:rPr>
      <w:sz w:val="24"/>
      <w:szCs w:val="24"/>
      <w:lang w:val="ru-RU" w:eastAsia="ru-RU" w:bidi="ar-SA"/>
    </w:rPr>
  </w:style>
  <w:style w:type="paragraph" w:styleId="681">
    <w:name w:val="Заголовок 1"/>
    <w:basedOn w:val="680"/>
    <w:next w:val="680"/>
    <w:link w:val="680"/>
    <w:qFormat/>
    <w:pPr>
      <w:keepNext/>
      <w:outlineLvl w:val="0"/>
    </w:pPr>
    <w:rPr>
      <w:sz w:val="28"/>
      <w:szCs w:val="20"/>
    </w:rPr>
  </w:style>
  <w:style w:type="character" w:styleId="682">
    <w:name w:val="Основной шрифт абзаца"/>
    <w:next w:val="682"/>
    <w:link w:val="680"/>
    <w:semiHidden/>
  </w:style>
  <w:style w:type="table" w:styleId="683">
    <w:name w:val="Обычная таблица"/>
    <w:next w:val="683"/>
    <w:link w:val="680"/>
    <w:semiHidden/>
    <w:tblPr/>
  </w:style>
  <w:style w:type="numbering" w:styleId="684">
    <w:name w:val="Нет списка"/>
    <w:next w:val="684"/>
    <w:link w:val="680"/>
    <w:semiHidden/>
  </w:style>
  <w:style w:type="paragraph" w:styleId="685">
    <w:name w:val="Основной текст с отступом"/>
    <w:basedOn w:val="680"/>
    <w:next w:val="685"/>
    <w:link w:val="680"/>
    <w:pPr>
      <w:ind w:firstLine="540"/>
      <w:jc w:val="both"/>
    </w:pPr>
  </w:style>
  <w:style w:type="paragraph" w:styleId="686">
    <w:name w:val="Основной текст 2"/>
    <w:basedOn w:val="680"/>
    <w:next w:val="686"/>
    <w:link w:val="703"/>
    <w:pPr>
      <w:jc w:val="center"/>
    </w:pPr>
    <w:rPr>
      <w:b/>
      <w:bCs/>
      <w:sz w:val="28"/>
      <w:szCs w:val="20"/>
      <w:u w:val="single"/>
    </w:rPr>
  </w:style>
  <w:style w:type="paragraph" w:styleId="687">
    <w:name w:val="Нижний колонтитул"/>
    <w:basedOn w:val="680"/>
    <w:next w:val="687"/>
    <w:link w:val="680"/>
    <w:pPr>
      <w:tabs>
        <w:tab w:val="center" w:pos="4844" w:leader="none"/>
        <w:tab w:val="right" w:pos="9689" w:leader="none"/>
      </w:tabs>
    </w:pPr>
  </w:style>
  <w:style w:type="paragraph" w:styleId="688">
    <w:name w:val="Верхний колонтитул"/>
    <w:basedOn w:val="680"/>
    <w:next w:val="688"/>
    <w:link w:val="680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689">
    <w:name w:val="Banner2"/>
    <w:basedOn w:val="680"/>
    <w:next w:val="689"/>
    <w:link w:val="680"/>
    <w:pPr>
      <w:keepLines/>
    </w:pPr>
    <w:rPr>
      <w:rFonts w:ascii="Helvetica" w:hAnsi="Helvetica"/>
      <w:b/>
      <w:sz w:val="32"/>
      <w:szCs w:val="20"/>
      <w:lang w:val="en-US" w:eastAsia="en-US"/>
    </w:rPr>
  </w:style>
  <w:style w:type="character" w:styleId="690">
    <w:name w:val="Знак примечания"/>
    <w:next w:val="690"/>
    <w:link w:val="680"/>
    <w:semiHidden/>
    <w:rPr>
      <w:sz w:val="16"/>
      <w:szCs w:val="16"/>
    </w:rPr>
  </w:style>
  <w:style w:type="paragraph" w:styleId="691">
    <w:name w:val="Текст примечания"/>
    <w:basedOn w:val="680"/>
    <w:next w:val="691"/>
    <w:link w:val="680"/>
    <w:semiHidden/>
    <w:rPr>
      <w:sz w:val="20"/>
      <w:szCs w:val="20"/>
    </w:rPr>
  </w:style>
  <w:style w:type="paragraph" w:styleId="692">
    <w:name w:val="Тема примечания"/>
    <w:basedOn w:val="691"/>
    <w:next w:val="691"/>
    <w:link w:val="680"/>
    <w:semiHidden/>
    <w:rPr>
      <w:b/>
      <w:bCs/>
    </w:rPr>
  </w:style>
  <w:style w:type="paragraph" w:styleId="693">
    <w:name w:val="Текст выноски"/>
    <w:basedOn w:val="680"/>
    <w:next w:val="693"/>
    <w:link w:val="680"/>
    <w:semiHidden/>
    <w:rPr>
      <w:rFonts w:ascii="Tahoma" w:hAnsi="Tahoma" w:cs="Tahoma"/>
      <w:sz w:val="16"/>
      <w:szCs w:val="16"/>
    </w:rPr>
  </w:style>
  <w:style w:type="character" w:styleId="694">
    <w:name w:val="Номер страницы"/>
    <w:basedOn w:val="682"/>
    <w:next w:val="694"/>
    <w:link w:val="680"/>
  </w:style>
  <w:style w:type="paragraph" w:styleId="695">
    <w:name w:val=" Знак"/>
    <w:basedOn w:val="680"/>
    <w:next w:val="695"/>
    <w:link w:val="6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96">
    <w:name w:val=" Char Знак Знак Char Char"/>
    <w:basedOn w:val="680"/>
    <w:next w:val="696"/>
    <w:link w:val="68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697">
    <w:name w:val="Маркированный список"/>
    <w:basedOn w:val="680"/>
    <w:next w:val="697"/>
    <w:link w:val="680"/>
    <w:pPr>
      <w:numPr>
        <w:ilvl w:val="1"/>
        <w:numId w:val="6"/>
      </w:numPr>
    </w:pPr>
  </w:style>
  <w:style w:type="character" w:styleId="698">
    <w:name w:val="Гиперссылка"/>
    <w:next w:val="698"/>
    <w:link w:val="680"/>
    <w:rPr>
      <w:color w:val="0000ff"/>
      <w:u w:val="single"/>
    </w:rPr>
  </w:style>
  <w:style w:type="paragraph" w:styleId="699">
    <w:name w:val="Название"/>
    <w:basedOn w:val="680"/>
    <w:next w:val="699"/>
    <w:link w:val="680"/>
    <w:qFormat/>
    <w:pPr>
      <w:jc w:val="center"/>
    </w:pPr>
    <w:rPr>
      <w:b/>
      <w:sz w:val="22"/>
      <w:szCs w:val="20"/>
    </w:rPr>
  </w:style>
  <w:style w:type="paragraph" w:styleId="700">
    <w:name w:val="Текст сноски"/>
    <w:basedOn w:val="680"/>
    <w:next w:val="700"/>
    <w:link w:val="701"/>
    <w:rPr>
      <w:sz w:val="20"/>
      <w:szCs w:val="20"/>
    </w:rPr>
  </w:style>
  <w:style w:type="character" w:styleId="701">
    <w:name w:val="Текст сноски Знак"/>
    <w:basedOn w:val="682"/>
    <w:next w:val="701"/>
    <w:link w:val="700"/>
  </w:style>
  <w:style w:type="character" w:styleId="702">
    <w:name w:val="Знак сноски"/>
    <w:next w:val="702"/>
    <w:link w:val="680"/>
    <w:rPr>
      <w:vertAlign w:val="superscript"/>
    </w:rPr>
  </w:style>
  <w:style w:type="character" w:styleId="703">
    <w:name w:val="Основной текст 2 Знак"/>
    <w:next w:val="703"/>
    <w:link w:val="686"/>
    <w:rPr>
      <w:b/>
      <w:bCs/>
      <w:sz w:val="28"/>
      <w:u w:val="single"/>
    </w:rPr>
  </w:style>
  <w:style w:type="character" w:styleId="1643" w:default="1">
    <w:name w:val="Default Paragraph Font"/>
    <w:uiPriority w:val="1"/>
    <w:semiHidden/>
    <w:unhideWhenUsed/>
  </w:style>
  <w:style w:type="numbering" w:styleId="1644" w:default="1">
    <w:name w:val="No List"/>
    <w:uiPriority w:val="99"/>
    <w:semiHidden/>
    <w:unhideWhenUsed/>
  </w:style>
  <w:style w:type="table" w:styleId="16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RSHB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департамента</dc:title>
  <dc:creator>Levkin</dc:creator>
  <cp:lastModifiedBy>kovtun-ev</cp:lastModifiedBy>
  <cp:revision>14</cp:revision>
  <dcterms:created xsi:type="dcterms:W3CDTF">2020-08-05T10:19:00Z</dcterms:created>
  <dcterms:modified xsi:type="dcterms:W3CDTF">2026-01-14T08:39:51Z</dcterms:modified>
  <cp:version>1048576</cp:version>
</cp:coreProperties>
</file>